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2023D51E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FF0C2C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660C14" w:rsidRPr="00660C14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9B7369">
        <w:rPr>
          <w:rFonts w:ascii="Arial" w:eastAsiaTheme="minorEastAsia" w:hAnsi="Arial" w:cs="Arial"/>
          <w:b/>
          <w:sz w:val="24"/>
          <w:szCs w:val="24"/>
          <w:lang w:eastAsia="zh-CN"/>
        </w:rPr>
        <w:t>400367</w:t>
      </w:r>
    </w:p>
    <w:p w14:paraId="5BC8206A" w14:textId="19B3AEA7" w:rsidR="00181FB6" w:rsidRPr="003F2F99" w:rsidRDefault="00FF0C2C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Athens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Greece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</w:t>
      </w:r>
      <w:r w:rsidR="00181FB6"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February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Pr="00FF0C2C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March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4</w:t>
      </w:r>
    </w:p>
    <w:p w14:paraId="1226C057" w14:textId="61198CE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01125" w:rsidRPr="00501125">
        <w:rPr>
          <w:rFonts w:ascii="Arial" w:hAnsi="Arial" w:cs="Arial"/>
          <w:sz w:val="22"/>
          <w:lang w:eastAsia="zh-CN"/>
        </w:rPr>
        <w:t>CA_n</w:t>
      </w:r>
      <w:r w:rsidR="00FF0C2C">
        <w:rPr>
          <w:rFonts w:ascii="Arial" w:hAnsi="Arial" w:cs="Arial"/>
          <w:sz w:val="22"/>
          <w:lang w:eastAsia="zh-CN"/>
        </w:rPr>
        <w:t>3</w:t>
      </w:r>
      <w:r w:rsidR="00501125" w:rsidRPr="00501125">
        <w:rPr>
          <w:rFonts w:ascii="Arial" w:hAnsi="Arial" w:cs="Arial"/>
          <w:sz w:val="22"/>
          <w:lang w:eastAsia="zh-CN"/>
        </w:rPr>
        <w:t xml:space="preserve">B </w:t>
      </w:r>
      <w:r w:rsidR="000E0AB5">
        <w:rPr>
          <w:rFonts w:ascii="Arial" w:hAnsi="Arial" w:cs="Arial"/>
          <w:sz w:val="22"/>
          <w:lang w:eastAsia="zh-CN"/>
        </w:rPr>
        <w:t xml:space="preserve">BCS4 </w:t>
      </w:r>
      <w:r w:rsidR="00FF0C2C">
        <w:rPr>
          <w:rFonts w:ascii="Arial" w:hAnsi="Arial" w:cs="Arial"/>
          <w:sz w:val="22"/>
          <w:lang w:eastAsia="zh-CN"/>
        </w:rPr>
        <w:t>REFSENS</w:t>
      </w:r>
    </w:p>
    <w:p w14:paraId="73AD8CE3" w14:textId="2A6FC44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B7369">
        <w:rPr>
          <w:rFonts w:ascii="Arial" w:hAnsi="Arial" w:cs="Arial"/>
          <w:sz w:val="22"/>
          <w:lang w:eastAsia="zh-CN"/>
        </w:rPr>
        <w:t>7.1</w:t>
      </w:r>
    </w:p>
    <w:p w14:paraId="6402E503" w14:textId="6CC0E76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10907968" w:rsidR="00F2750F" w:rsidRPr="00AB149D" w:rsidRDefault="000E0AB5" w:rsidP="00C84805">
      <w:pPr>
        <w:spacing w:after="0"/>
        <w:jc w:val="both"/>
      </w:pPr>
      <w:r w:rsidRPr="000E0AB5">
        <w:t xml:space="preserve">This document presents </w:t>
      </w:r>
      <w:r>
        <w:t>CA_n3B BCS4</w:t>
      </w:r>
      <w:r w:rsidRPr="000E0AB5">
        <w:t xml:space="preserve"> measurements and proposes associated REFSENS requirements.</w:t>
      </w:r>
      <w:r w:rsidR="00181FB6">
        <w:t xml:space="preserve"> </w:t>
      </w:r>
    </w:p>
    <w:p w14:paraId="61F277A6" w14:textId="6DEBC3E7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603AF753" w14:textId="5AEF1B65" w:rsidR="00634DBF" w:rsidRDefault="00634DBF" w:rsidP="009152AD">
      <w:pPr>
        <w:jc w:val="both"/>
      </w:pPr>
      <w:r>
        <w:fldChar w:fldCharType="begin"/>
      </w:r>
      <w:r>
        <w:instrText xml:space="preserve"> REF _Ref158636667 \h </w:instrText>
      </w:r>
      <w:r w:rsidR="009152AD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that intra-band contiguous uplink (UL) carrier-aggregation for band n3 “UL CA_n3B” has been requested at</w:t>
      </w:r>
      <w:r w:rsidR="004F6DC5">
        <w:t xml:space="preserve"> the</w:t>
      </w:r>
      <w:r>
        <w:t xml:space="preserve"> last RAN plenary meeting for</w:t>
      </w:r>
      <w:r w:rsidR="004F6DC5">
        <w:t xml:space="preserve"> a</w:t>
      </w:r>
      <w:r>
        <w:t xml:space="preserve"> BCS4/5 configuration set [1]</w:t>
      </w:r>
      <w:r w:rsidR="00540D6D">
        <w:t xml:space="preserve"> for a 75MHz maximum aggregated bandwidth</w:t>
      </w:r>
      <w:r>
        <w:t xml:space="preserve">. This UL configuration may produce direct hit collision of </w:t>
      </w:r>
      <w:r w:rsidR="009152AD">
        <w:t xml:space="preserve">dual-uplink </w:t>
      </w:r>
      <w:r>
        <w:t xml:space="preserve">IMD3 and IMD5 to PCC and SCC respectively. This paper brings measurements to evaluate the impact on </w:t>
      </w:r>
      <w:r w:rsidR="00E518A1">
        <w:t>B</w:t>
      </w:r>
      <w:r>
        <w:t>and n3 PCC/SCC REFSENS.</w:t>
      </w:r>
      <w:r w:rsidR="00DE0D48">
        <w:t xml:space="preserve"> </w:t>
      </w:r>
    </w:p>
    <w:p w14:paraId="7D2F4B1B" w14:textId="2F5F2C1A" w:rsidR="00634DBF" w:rsidRDefault="00634DBF" w:rsidP="00634DBF">
      <w:pPr>
        <w:pStyle w:val="Caption"/>
      </w:pPr>
      <w:bookmarkStart w:id="0" w:name="_Ref1586366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Pr="00634DBF">
        <w:rPr>
          <w:b w:val="0"/>
          <w:bCs w:val="0"/>
        </w:rPr>
        <w:t>BCS4/5 request for UL CA_n3B</w:t>
      </w:r>
      <w:r w:rsidR="009152AD">
        <w:rPr>
          <w:b w:val="0"/>
          <w:bCs w:val="0"/>
        </w:rPr>
        <w:t xml:space="preserve"> [1]</w:t>
      </w:r>
    </w:p>
    <w:p w14:paraId="295CEDA8" w14:textId="42886A34" w:rsidR="00634DBF" w:rsidRPr="00634DBF" w:rsidRDefault="00634DBF" w:rsidP="00634DBF">
      <w:pPr>
        <w:rPr>
          <w:lang w:val="en-US"/>
        </w:rPr>
      </w:pPr>
      <w:r>
        <w:rPr>
          <w:noProof/>
        </w:rPr>
        <w:drawing>
          <wp:inline distT="0" distB="0" distL="0" distR="0" wp14:anchorId="065F26CF" wp14:editId="352A5538">
            <wp:extent cx="6646545" cy="683895"/>
            <wp:effectExtent l="0" t="0" r="1905" b="1905"/>
            <wp:docPr id="8671310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13100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711A30B6" w14:textId="77777777" w:rsidR="0077224A" w:rsidRPr="0077224A" w:rsidRDefault="0077224A" w:rsidP="0077224A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77224A">
        <w:rPr>
          <w:rFonts w:eastAsia="SimSun"/>
          <w:lang w:val="en-US" w:eastAsia="en-US"/>
        </w:rPr>
        <w:t>Local Oscillator (LO) leakage: -28 dBc,</w:t>
      </w:r>
      <w:r>
        <w:rPr>
          <w:rFonts w:eastAsia="SimSun"/>
          <w:lang w:val="en-US" w:eastAsia="en-US"/>
        </w:rPr>
        <w:t xml:space="preserve"> </w:t>
      </w:r>
      <w:r w:rsidRPr="0077224A">
        <w:rPr>
          <w:rFonts w:eastAsia="SimSun"/>
          <w:lang w:val="en-US" w:eastAsia="en-US"/>
        </w:rPr>
        <w:t>IQ Image rejection: -28 dB.</w:t>
      </w:r>
    </w:p>
    <w:p w14:paraId="2071DBDD" w14:textId="020531FB" w:rsidR="007247AC" w:rsidRPr="007247AC" w:rsidRDefault="007247AC" w:rsidP="007247AC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  <w:r w:rsidR="0077224A">
        <w:rPr>
          <w:rFonts w:eastAsia="SimSun"/>
          <w:lang w:val="en-US" w:eastAsia="en-US"/>
        </w:rPr>
        <w:t xml:space="preserve"> and 4dB post PA insertion losses.</w:t>
      </w:r>
    </w:p>
    <w:p w14:paraId="00E3B61E" w14:textId="7A9FDCA4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PA calibration point is 20 MHz, 15 kHz, QPSK, DFT-S-OFDM, 100 RB at lower channel edge with 1 dB MPR- PC3 ACLR -30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  <w:r w:rsidR="00E518A1">
        <w:rPr>
          <w:rFonts w:eastAsia="SimSun"/>
          <w:lang w:val="en-US" w:eastAsia="en-US"/>
        </w:rPr>
        <w:t>.</w:t>
      </w:r>
    </w:p>
    <w:p w14:paraId="0A25DDD5" w14:textId="29775A92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>Measurement Results and MSD Proposal</w:t>
      </w:r>
    </w:p>
    <w:p w14:paraId="69BBF03F" w14:textId="76E1013B" w:rsidR="00343AA7" w:rsidRPr="00343AA7" w:rsidRDefault="00343AA7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BE2329">
        <w:rPr>
          <w:lang w:val="en-US" w:eastAsia="en-US"/>
        </w:rPr>
        <w:t xml:space="preserve">Band </w:t>
      </w:r>
      <w:r>
        <w:rPr>
          <w:lang w:val="en-US" w:eastAsia="en-US"/>
        </w:rPr>
        <w:t>n</w:t>
      </w:r>
      <w:r w:rsidR="007247AC">
        <w:rPr>
          <w:lang w:val="en-US" w:eastAsia="en-US"/>
        </w:rPr>
        <w:t>3</w:t>
      </w:r>
      <w:r>
        <w:rPr>
          <w:lang w:val="en-US" w:eastAsia="en-US"/>
        </w:rPr>
        <w:t xml:space="preserve"> PCC/SCC </w:t>
      </w:r>
      <w:r w:rsidRPr="00343AA7">
        <w:rPr>
          <w:lang w:val="en-US" w:eastAsia="en-US"/>
        </w:rPr>
        <w:t>MSD is evaluated using the following parameters</w:t>
      </w:r>
      <w:r>
        <w:rPr>
          <w:lang w:val="en-US" w:eastAsia="en-US"/>
        </w:rPr>
        <w:t>:</w:t>
      </w:r>
    </w:p>
    <w:p w14:paraId="16BD9A95" w14:textId="2467DAA7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Tx-Rx duplexer isolation: 50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8778A7E" w14:textId="7E5F99BD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Tx-</w:t>
      </w:r>
      <w:r w:rsidR="00BE2329">
        <w:rPr>
          <w:rFonts w:eastAsia="SimSun"/>
          <w:lang w:val="en-US" w:eastAsia="en-US"/>
        </w:rPr>
        <w:t xml:space="preserve">antenna </w:t>
      </w:r>
      <w:r>
        <w:rPr>
          <w:rFonts w:eastAsia="SimSun"/>
          <w:lang w:val="en-US" w:eastAsia="en-US"/>
        </w:rPr>
        <w:t>duplex rejection in Rx range: 45</w:t>
      </w:r>
      <w:r w:rsidR="00BE2329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</w:p>
    <w:p w14:paraId="6443EED1" w14:textId="116643C2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Primary antenna to diversity antenna isolation: 10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D2DB447" w14:textId="1062BE79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MRC combining and -1</w:t>
      </w:r>
      <w:r w:rsidR="007715BC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 xml:space="preserve">dB </w:t>
      </w:r>
      <w:r w:rsidR="00BE2329">
        <w:rPr>
          <w:rFonts w:eastAsia="SimSun"/>
          <w:lang w:val="en-US" w:eastAsia="en-US"/>
        </w:rPr>
        <w:t>Signal-to-Noise Ratio (</w:t>
      </w:r>
      <w:r w:rsidRPr="00343AA7">
        <w:rPr>
          <w:rFonts w:eastAsia="SimSun"/>
          <w:lang w:val="en-US" w:eastAsia="en-US"/>
        </w:rPr>
        <w:t>SNR</w:t>
      </w:r>
      <w:r w:rsidR="00BE2329">
        <w:rPr>
          <w:rFonts w:eastAsia="SimSun"/>
          <w:lang w:val="en-US" w:eastAsia="en-US"/>
        </w:rPr>
        <w:t>)</w:t>
      </w:r>
    </w:p>
    <w:p w14:paraId="50CE350C" w14:textId="34F97107" w:rsidR="007247AC" w:rsidRPr="0077224A" w:rsidRDefault="0077224A" w:rsidP="0077224A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UL </w:t>
      </w:r>
      <w:r w:rsidR="007247AC" w:rsidRPr="0077224A">
        <w:rPr>
          <w:rFonts w:eastAsia="SimSun"/>
          <w:lang w:val="en-US" w:eastAsia="en-US"/>
        </w:rPr>
        <w:t xml:space="preserve">channel bandwidth </w:t>
      </w:r>
      <w:r>
        <w:rPr>
          <w:rFonts w:eastAsia="SimSun"/>
          <w:lang w:val="en-US" w:eastAsia="en-US"/>
        </w:rPr>
        <w:t xml:space="preserve">/ </w:t>
      </w:r>
      <w:r w:rsidR="007247AC" w:rsidRPr="0077224A">
        <w:rPr>
          <w:rFonts w:eastAsia="SimSun"/>
          <w:lang w:val="en-US" w:eastAsia="en-US"/>
        </w:rPr>
        <w:t>RB allocation: PCC: 25MHz / Lcrb =16(RBstart = 40)</w:t>
      </w:r>
      <w:r w:rsidRPr="0077224A">
        <w:rPr>
          <w:rFonts w:eastAsia="SimSun"/>
          <w:lang w:val="en-US" w:eastAsia="en-US"/>
        </w:rPr>
        <w:t xml:space="preserve">, </w:t>
      </w:r>
      <w:r w:rsidR="007247AC" w:rsidRPr="0077224A">
        <w:rPr>
          <w:rFonts w:eastAsia="SimSun"/>
          <w:lang w:val="en-US" w:eastAsia="en-US"/>
        </w:rPr>
        <w:t>SCC: 50MHz / Lcrb = 32(RBstart = 160)</w:t>
      </w:r>
    </w:p>
    <w:p w14:paraId="42C05620" w14:textId="77777777" w:rsidR="0077224A" w:rsidRDefault="0077224A" w:rsidP="007247AC">
      <w:pPr>
        <w:spacing w:after="120"/>
        <w:contextualSpacing/>
        <w:jc w:val="both"/>
        <w:rPr>
          <w:rFonts w:eastAsia="SimSun"/>
          <w:lang w:val="en-US" w:eastAsia="en-US"/>
        </w:rPr>
      </w:pPr>
    </w:p>
    <w:p w14:paraId="0408785A" w14:textId="4048FB59" w:rsidR="007247AC" w:rsidRDefault="007247AC" w:rsidP="007247AC">
      <w:p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The proposed </w:t>
      </w:r>
      <w:r w:rsidR="007D2E4F">
        <w:rPr>
          <w:rFonts w:eastAsia="SimSun"/>
          <w:lang w:val="en-US" w:eastAsia="en-US"/>
        </w:rPr>
        <w:t>dual-</w:t>
      </w:r>
      <w:r>
        <w:rPr>
          <w:rFonts w:eastAsia="SimSun"/>
          <w:lang w:val="en-US" w:eastAsia="en-US"/>
        </w:rPr>
        <w:t xml:space="preserve">UL configuration is aligned </w:t>
      </w:r>
      <w:r w:rsidR="00615C23">
        <w:rPr>
          <w:rFonts w:eastAsia="SimSun"/>
          <w:lang w:val="en-US" w:eastAsia="en-US"/>
        </w:rPr>
        <w:t xml:space="preserve">as much as possible </w:t>
      </w:r>
      <w:r>
        <w:rPr>
          <w:rFonts w:eastAsia="SimSun"/>
          <w:lang w:val="en-US" w:eastAsia="en-US"/>
        </w:rPr>
        <w:t xml:space="preserve">with </w:t>
      </w:r>
      <w:r w:rsidR="00615C23">
        <w:rPr>
          <w:rFonts w:eastAsia="SimSun"/>
          <w:lang w:val="en-US" w:eastAsia="en-US"/>
        </w:rPr>
        <w:t>the</w:t>
      </w:r>
      <w:r>
        <w:rPr>
          <w:rFonts w:eastAsia="SimSun"/>
          <w:lang w:val="en-US" w:eastAsia="en-US"/>
        </w:rPr>
        <w:t xml:space="preserve"> conventions </w:t>
      </w:r>
      <w:r w:rsidR="00615C23">
        <w:rPr>
          <w:rFonts w:eastAsia="SimSun"/>
          <w:lang w:val="en-US" w:eastAsia="en-US"/>
        </w:rPr>
        <w:t xml:space="preserve">of </w:t>
      </w:r>
      <w:r w:rsidR="00615C23" w:rsidRPr="007247AC">
        <w:rPr>
          <w:rFonts w:eastAsia="SimSun"/>
          <w:lang w:val="en-US" w:eastAsia="en-US"/>
        </w:rPr>
        <w:t>Table 7.3A.2.1-1</w:t>
      </w:r>
      <w:r w:rsidR="00403F4B">
        <w:rPr>
          <w:rFonts w:eastAsia="SimSun"/>
          <w:lang w:val="en-US" w:eastAsia="en-US"/>
        </w:rPr>
        <w:t>, i.e.</w:t>
      </w:r>
      <w:r>
        <w:rPr>
          <w:rFonts w:eastAsia="SimSun"/>
          <w:lang w:val="en-US" w:eastAsia="en-US"/>
        </w:rPr>
        <w:t>:</w:t>
      </w:r>
    </w:p>
    <w:p w14:paraId="6E46E56D" w14:textId="21FACA8F" w:rsidR="00540D6D" w:rsidRDefault="007C5FF5" w:rsidP="00FE7C64">
      <w:pPr>
        <w:pStyle w:val="ListParagraph"/>
        <w:numPr>
          <w:ilvl w:val="0"/>
          <w:numId w:val="38"/>
        </w:numPr>
        <w:spacing w:after="120"/>
        <w:ind w:firstLineChars="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Evaluate using</w:t>
      </w:r>
      <w:r w:rsidR="00540D6D" w:rsidRPr="00540D6D">
        <w:rPr>
          <w:rFonts w:eastAsia="SimSun"/>
          <w:lang w:val="en-US" w:eastAsia="en-US"/>
        </w:rPr>
        <w:t xml:space="preserve"> the </w:t>
      </w:r>
      <w:r w:rsidR="007247AC" w:rsidRPr="00540D6D">
        <w:rPr>
          <w:rFonts w:eastAsia="SimSun"/>
          <w:lang w:val="en-US" w:eastAsia="en-US"/>
        </w:rPr>
        <w:t xml:space="preserve">PCC CBW which leads to </w:t>
      </w:r>
      <w:r w:rsidR="00540D6D" w:rsidRPr="00540D6D">
        <w:rPr>
          <w:rFonts w:eastAsia="SimSun"/>
          <w:lang w:val="en-US" w:eastAsia="en-US"/>
        </w:rPr>
        <w:t xml:space="preserve">the </w:t>
      </w:r>
      <w:r w:rsidR="007247AC" w:rsidRPr="00540D6D">
        <w:rPr>
          <w:rFonts w:eastAsia="SimSun"/>
          <w:lang w:val="en-US" w:eastAsia="en-US"/>
        </w:rPr>
        <w:t>highest MSD</w:t>
      </w:r>
      <w:r w:rsidR="00E518A1">
        <w:rPr>
          <w:rFonts w:eastAsia="SimSun"/>
          <w:lang w:val="en-US" w:eastAsia="en-US"/>
        </w:rPr>
        <w:t>.</w:t>
      </w:r>
    </w:p>
    <w:p w14:paraId="4343B395" w14:textId="2D3993C3" w:rsidR="007247AC" w:rsidRPr="00540D6D" w:rsidRDefault="007C5FF5" w:rsidP="00FE7C64">
      <w:pPr>
        <w:pStyle w:val="ListParagraph"/>
        <w:numPr>
          <w:ilvl w:val="0"/>
          <w:numId w:val="38"/>
        </w:numPr>
        <w:spacing w:after="120"/>
        <w:ind w:firstLineChars="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Evaluate using </w:t>
      </w:r>
      <w:r w:rsidR="00540D6D">
        <w:rPr>
          <w:rFonts w:eastAsia="SimSun"/>
          <w:lang w:val="en-US" w:eastAsia="en-US"/>
        </w:rPr>
        <w:t xml:space="preserve">PCC/SCC </w:t>
      </w:r>
      <w:r w:rsidR="007247AC" w:rsidRPr="00540D6D">
        <w:rPr>
          <w:rFonts w:eastAsia="SimSun"/>
          <w:lang w:val="en-US" w:eastAsia="en-US"/>
        </w:rPr>
        <w:t>UL RB allocation</w:t>
      </w:r>
      <w:r w:rsidR="00540D6D">
        <w:rPr>
          <w:rFonts w:eastAsia="SimSun"/>
          <w:lang w:val="en-US" w:eastAsia="en-US"/>
        </w:rPr>
        <w:t>s</w:t>
      </w:r>
      <w:r w:rsidR="007247AC" w:rsidRPr="00540D6D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 xml:space="preserve">which are </w:t>
      </w:r>
      <w:r w:rsidR="007247AC" w:rsidRPr="00540D6D">
        <w:rPr>
          <w:rFonts w:eastAsia="SimSun"/>
          <w:lang w:val="en-US" w:eastAsia="en-US"/>
        </w:rPr>
        <w:t>scaled proportional to the PCC/SCC CBW ratio</w:t>
      </w:r>
      <w:r w:rsidR="00E518A1">
        <w:rPr>
          <w:rFonts w:eastAsia="SimSun"/>
          <w:lang w:val="en-US" w:eastAsia="en-US"/>
        </w:rPr>
        <w:t>.</w:t>
      </w:r>
    </w:p>
    <w:p w14:paraId="044AAD31" w14:textId="14E66214" w:rsidR="007247AC" w:rsidRPr="007247AC" w:rsidRDefault="007C5FF5" w:rsidP="007247AC">
      <w:pPr>
        <w:pStyle w:val="ListParagraph"/>
        <w:numPr>
          <w:ilvl w:val="0"/>
          <w:numId w:val="38"/>
        </w:numPr>
        <w:spacing w:after="120"/>
        <w:ind w:firstLineChars="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Evaluate with a</w:t>
      </w:r>
      <w:r w:rsidR="007247AC">
        <w:rPr>
          <w:rFonts w:eastAsia="SimSun"/>
          <w:lang w:val="en-US" w:eastAsia="en-US"/>
        </w:rPr>
        <w:t xml:space="preserve"> total number of UL RB “RBtot” set</w:t>
      </w:r>
      <w:r>
        <w:rPr>
          <w:rFonts w:eastAsia="SimSun"/>
          <w:lang w:val="en-US" w:eastAsia="en-US"/>
        </w:rPr>
        <w:t xml:space="preserve"> to</w:t>
      </w:r>
      <w:r w:rsidR="00540D6D">
        <w:rPr>
          <w:rFonts w:eastAsia="SimSun"/>
          <w:lang w:val="en-US" w:eastAsia="en-US"/>
        </w:rPr>
        <w:t>,</w:t>
      </w:r>
      <w:r w:rsidR="007247AC">
        <w:rPr>
          <w:rFonts w:eastAsia="SimSun"/>
          <w:lang w:val="en-US" w:eastAsia="en-US"/>
        </w:rPr>
        <w:t xml:space="preserve"> as </w:t>
      </w:r>
      <w:r w:rsidR="00540D6D">
        <w:rPr>
          <w:rFonts w:eastAsia="SimSun"/>
          <w:lang w:val="en-US" w:eastAsia="en-US"/>
        </w:rPr>
        <w:t xml:space="preserve">much as possible, </w:t>
      </w:r>
      <w:r w:rsidR="007247AC">
        <w:rPr>
          <w:rFonts w:eastAsia="SimSun"/>
          <w:lang w:val="en-US" w:eastAsia="en-US"/>
        </w:rPr>
        <w:t>equal to the band’s 1UL REFSENS test point. For band n3, there is</w:t>
      </w:r>
      <w:r w:rsidR="00E518A1">
        <w:rPr>
          <w:rFonts w:eastAsia="SimSun"/>
          <w:lang w:val="en-US" w:eastAsia="en-US"/>
        </w:rPr>
        <w:t xml:space="preserve"> not</w:t>
      </w:r>
      <w:r w:rsidR="00540D6D">
        <w:rPr>
          <w:rFonts w:eastAsia="SimSun"/>
          <w:lang w:val="en-US" w:eastAsia="en-US"/>
        </w:rPr>
        <w:t>,</w:t>
      </w:r>
      <w:r w:rsidR="00250012">
        <w:rPr>
          <w:rFonts w:eastAsia="SimSun"/>
          <w:lang w:val="en-US" w:eastAsia="en-US"/>
        </w:rPr>
        <w:t xml:space="preserve"> by definition, any</w:t>
      </w:r>
      <w:r w:rsidR="007247AC">
        <w:rPr>
          <w:rFonts w:eastAsia="SimSun"/>
          <w:lang w:val="en-US" w:eastAsia="en-US"/>
        </w:rPr>
        <w:t xml:space="preserve"> REFSENS requirement for 1 UL 75MHz DL CBW operation</w:t>
      </w:r>
      <w:r w:rsidR="00540D6D">
        <w:rPr>
          <w:rFonts w:eastAsia="SimSun"/>
          <w:lang w:val="en-US" w:eastAsia="en-US"/>
        </w:rPr>
        <w:t xml:space="preserve">. </w:t>
      </w:r>
      <w:r w:rsidR="0077224A">
        <w:rPr>
          <w:rFonts w:eastAsia="SimSun"/>
          <w:lang w:val="en-US" w:eastAsia="en-US"/>
        </w:rPr>
        <w:t>Here, the closest value is Lcrb=40 specified for 50MHz CBW.</w:t>
      </w:r>
      <w:r w:rsidR="007247AC">
        <w:rPr>
          <w:rFonts w:eastAsia="SimSun"/>
          <w:lang w:val="en-US" w:eastAsia="en-US"/>
        </w:rPr>
        <w:t xml:space="preserve"> In this contribution RBtot</w:t>
      </w:r>
      <w:r w:rsidR="00250012">
        <w:rPr>
          <w:rFonts w:eastAsia="SimSun"/>
          <w:lang w:val="en-US" w:eastAsia="en-US"/>
        </w:rPr>
        <w:t xml:space="preserve"> is </w:t>
      </w:r>
      <w:r w:rsidR="007247AC">
        <w:rPr>
          <w:rFonts w:eastAsia="SimSun"/>
          <w:lang w:val="en-US" w:eastAsia="en-US"/>
        </w:rPr>
        <w:t>38RB</w:t>
      </w:r>
      <w:r w:rsidR="0077224A">
        <w:rPr>
          <w:rFonts w:eastAsia="SimSun"/>
          <w:lang w:val="en-US" w:eastAsia="en-US"/>
        </w:rPr>
        <w:t xml:space="preserve"> </w:t>
      </w:r>
      <w:r w:rsidR="007B4FCD">
        <w:rPr>
          <w:rFonts w:eastAsia="SimSun"/>
          <w:lang w:val="en-US" w:eastAsia="en-US"/>
        </w:rPr>
        <w:t xml:space="preserve">with </w:t>
      </w:r>
      <w:r w:rsidR="0077224A">
        <w:rPr>
          <w:rFonts w:eastAsia="SimSun"/>
          <w:lang w:val="en-US" w:eastAsia="en-US"/>
        </w:rPr>
        <w:t>16</w:t>
      </w:r>
      <w:r w:rsidR="007B4FCD">
        <w:rPr>
          <w:rFonts w:eastAsia="SimSun"/>
          <w:lang w:val="en-US" w:eastAsia="en-US"/>
        </w:rPr>
        <w:t>/</w:t>
      </w:r>
      <w:r w:rsidR="0077224A">
        <w:rPr>
          <w:rFonts w:eastAsia="SimSun"/>
          <w:lang w:val="en-US" w:eastAsia="en-US"/>
        </w:rPr>
        <w:t>32</w:t>
      </w:r>
      <w:r w:rsidR="007B4FCD">
        <w:rPr>
          <w:rFonts w:eastAsia="SimSun"/>
          <w:lang w:val="en-US" w:eastAsia="en-US"/>
        </w:rPr>
        <w:t xml:space="preserve"> RB scaled proportional to the CC CBW ratio.</w:t>
      </w:r>
    </w:p>
    <w:p w14:paraId="6806FD15" w14:textId="654D629E" w:rsidR="00181FB6" w:rsidRDefault="00343AA7" w:rsidP="00343AA7">
      <w:r>
        <w:t>The</w:t>
      </w:r>
      <w:r w:rsidR="00250012">
        <w:t xml:space="preserve"> </w:t>
      </w:r>
      <w:r w:rsidR="00E518A1">
        <w:t>B</w:t>
      </w:r>
      <w:r w:rsidR="00250012">
        <w:t>and n3</w:t>
      </w:r>
      <w:r>
        <w:t xml:space="preserve"> measured noise</w:t>
      </w:r>
      <w:r w:rsidR="007247AC">
        <w:t xml:space="preserve"> at 23dBm</w:t>
      </w:r>
      <w:r>
        <w:t xml:space="preserve"> </w:t>
      </w:r>
      <w:r w:rsidR="00250012">
        <w:t xml:space="preserve">output power </w:t>
      </w:r>
      <w:r w:rsidR="00181FB6">
        <w:t>is:</w:t>
      </w:r>
    </w:p>
    <w:p w14:paraId="3B825FEE" w14:textId="22670B9F" w:rsidR="00181FB6" w:rsidRDefault="00181FB6" w:rsidP="00C84805">
      <w:pPr>
        <w:pStyle w:val="ListParagraph"/>
        <w:numPr>
          <w:ilvl w:val="0"/>
          <w:numId w:val="37"/>
        </w:numPr>
        <w:spacing w:after="0"/>
        <w:ind w:left="822" w:firstLineChars="0" w:hanging="357"/>
      </w:pPr>
      <w:r>
        <w:t xml:space="preserve">PCC </w:t>
      </w:r>
      <w:r w:rsidR="007247AC">
        <w:t>2</w:t>
      </w:r>
      <w:r>
        <w:t>5</w:t>
      </w:r>
      <w:r w:rsidR="007715BC">
        <w:t xml:space="preserve"> </w:t>
      </w:r>
      <w:r>
        <w:t>MHz CBW:</w:t>
      </w:r>
      <w:r w:rsidR="00343AA7">
        <w:t xml:space="preserve"> </w:t>
      </w:r>
      <w:r w:rsidR="007247AC">
        <w:t>+5.4</w:t>
      </w:r>
      <w:r w:rsidR="00BE2329">
        <w:t xml:space="preserve"> </w:t>
      </w:r>
      <w:r w:rsidR="00343AA7">
        <w:t>dBm/MBW</w:t>
      </w:r>
      <w:r w:rsidR="007247AC">
        <w:t xml:space="preserve"> due to direct 2UL IMD3 collision</w:t>
      </w:r>
      <w:r w:rsidR="00E518A1">
        <w:t>.</w:t>
      </w:r>
    </w:p>
    <w:p w14:paraId="28F15035" w14:textId="2962D6AF" w:rsidR="00343AA7" w:rsidRDefault="00181FB6" w:rsidP="00C84805">
      <w:pPr>
        <w:pStyle w:val="ListParagraph"/>
        <w:numPr>
          <w:ilvl w:val="0"/>
          <w:numId w:val="37"/>
        </w:numPr>
        <w:spacing w:after="0"/>
        <w:ind w:left="822" w:firstLineChars="0" w:hanging="357"/>
      </w:pPr>
      <w:r>
        <w:t xml:space="preserve">SCC </w:t>
      </w:r>
      <w:r w:rsidR="007247AC">
        <w:t>50</w:t>
      </w:r>
      <w:r w:rsidR="007715BC">
        <w:t xml:space="preserve"> </w:t>
      </w:r>
      <w:r>
        <w:t>MHz CBW: -1</w:t>
      </w:r>
      <w:r w:rsidR="007247AC">
        <w:t>0</w:t>
      </w:r>
      <w:r w:rsidR="00343AA7">
        <w:t>.1</w:t>
      </w:r>
      <w:r w:rsidR="00BE2329">
        <w:t xml:space="preserve"> </w:t>
      </w:r>
      <w:r w:rsidR="00343AA7">
        <w:t>dBm/MBW</w:t>
      </w:r>
      <w:r w:rsidR="007247AC">
        <w:t xml:space="preserve"> due to direct 2UL IMD5 collision.</w:t>
      </w:r>
    </w:p>
    <w:p w14:paraId="566B3196" w14:textId="77777777" w:rsidR="00C84805" w:rsidRDefault="00C84805" w:rsidP="00C84805">
      <w:pPr>
        <w:pStyle w:val="ListParagraph"/>
        <w:spacing w:after="0"/>
        <w:ind w:left="822" w:firstLineChars="0" w:firstLine="0"/>
      </w:pPr>
    </w:p>
    <w:p w14:paraId="61E203CC" w14:textId="4E4D33AE" w:rsidR="00181FB6" w:rsidRDefault="00181FB6" w:rsidP="00181FB6">
      <w:r>
        <w:t xml:space="preserve">The </w:t>
      </w:r>
      <w:r w:rsidR="007247AC">
        <w:t xml:space="preserve">measured PA output spectrum </w:t>
      </w:r>
      <w:r w:rsidR="00250012">
        <w:t>i</w:t>
      </w:r>
      <w:r w:rsidR="007715BC">
        <w:t xml:space="preserve">s shown </w:t>
      </w:r>
      <w:r>
        <w:t xml:space="preserve">in </w:t>
      </w:r>
      <w:r>
        <w:fldChar w:fldCharType="begin"/>
      </w:r>
      <w:r>
        <w:instrText xml:space="preserve"> REF _Ref149817206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250012">
        <w:t xml:space="preserve"> and MSD analysis in </w:t>
      </w:r>
      <w:r w:rsidR="00DE0D48">
        <w:fldChar w:fldCharType="begin"/>
      </w:r>
      <w:r w:rsidR="00DE0D48">
        <w:instrText xml:space="preserve"> REF _Ref158637197 \h </w:instrText>
      </w:r>
      <w:r w:rsidR="00DE0D48">
        <w:fldChar w:fldCharType="separate"/>
      </w:r>
      <w:r w:rsidR="00DE0D48">
        <w:t xml:space="preserve">Figure </w:t>
      </w:r>
      <w:r w:rsidR="00DE0D48">
        <w:rPr>
          <w:noProof/>
        </w:rPr>
        <w:t>2</w:t>
      </w:r>
      <w:r w:rsidR="00DE0D48">
        <w:fldChar w:fldCharType="end"/>
      </w:r>
      <w:r w:rsidR="00DE0D48">
        <w:t>.</w:t>
      </w:r>
    </w:p>
    <w:p w14:paraId="4E732E55" w14:textId="2C8EEB15" w:rsidR="003F0720" w:rsidRDefault="003F0720" w:rsidP="003F0720">
      <w:pPr>
        <w:jc w:val="center"/>
      </w:pPr>
    </w:p>
    <w:p w14:paraId="55615F6B" w14:textId="77777777" w:rsidR="00250012" w:rsidRDefault="00250012" w:rsidP="003F0720">
      <w:pPr>
        <w:jc w:val="center"/>
      </w:pPr>
    </w:p>
    <w:p w14:paraId="0AF9D21B" w14:textId="3450D120" w:rsidR="00250012" w:rsidRDefault="00117945" w:rsidP="003F0720">
      <w:pPr>
        <w:jc w:val="center"/>
      </w:pPr>
      <w:r w:rsidRPr="00117945">
        <w:rPr>
          <w:noProof/>
        </w:rPr>
        <w:lastRenderedPageBreak/>
        <w:drawing>
          <wp:inline distT="0" distB="0" distL="0" distR="0" wp14:anchorId="1B739A42" wp14:editId="3CF1A374">
            <wp:extent cx="3742857" cy="1895238"/>
            <wp:effectExtent l="0" t="0" r="0" b="0"/>
            <wp:docPr id="854149816" name="Picture 1" descr="A graph of a frequenc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149816" name="Picture 1" descr="A graph of a frequency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42857" cy="1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5C786" w14:textId="5B28F726" w:rsidR="00181FB6" w:rsidRDefault="00181FB6" w:rsidP="00181FB6">
      <w:pPr>
        <w:pStyle w:val="Caption"/>
      </w:pPr>
      <w:bookmarkStart w:id="1" w:name="_Ref1498172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250012">
        <w:rPr>
          <w:b w:val="0"/>
          <w:bCs w:val="0"/>
        </w:rPr>
        <w:t xml:space="preserve">PA output spectrum for proposed CA_n3B REFSENS test point: </w:t>
      </w:r>
      <w:r w:rsidR="0077224A">
        <w:rPr>
          <w:b w:val="0"/>
          <w:bCs w:val="0"/>
        </w:rPr>
        <w:t xml:space="preserve">IMD3 in </w:t>
      </w:r>
      <w:r w:rsidR="00250012">
        <w:rPr>
          <w:b w:val="0"/>
          <w:bCs w:val="0"/>
        </w:rPr>
        <w:t>DL PCC</w:t>
      </w:r>
      <w:r w:rsidR="0077224A">
        <w:rPr>
          <w:b w:val="0"/>
          <w:bCs w:val="0"/>
        </w:rPr>
        <w:t xml:space="preserve"> (red), IMD5 in DL </w:t>
      </w:r>
      <w:r w:rsidR="00250012">
        <w:rPr>
          <w:b w:val="0"/>
          <w:bCs w:val="0"/>
        </w:rPr>
        <w:t xml:space="preserve">SCC </w:t>
      </w:r>
      <w:r w:rsidR="0077224A">
        <w:rPr>
          <w:b w:val="0"/>
          <w:bCs w:val="0"/>
        </w:rPr>
        <w:t>(</w:t>
      </w:r>
      <w:r w:rsidR="00250012">
        <w:rPr>
          <w:b w:val="0"/>
          <w:bCs w:val="0"/>
        </w:rPr>
        <w:t>green</w:t>
      </w:r>
      <w:r w:rsidR="0077224A">
        <w:rPr>
          <w:b w:val="0"/>
          <w:bCs w:val="0"/>
        </w:rPr>
        <w:t>)</w:t>
      </w:r>
      <w:r w:rsidR="00250012">
        <w:rPr>
          <w:b w:val="0"/>
          <w:bCs w:val="0"/>
        </w:rPr>
        <w:t>.</w:t>
      </w:r>
    </w:p>
    <w:p w14:paraId="5D30722F" w14:textId="793C301C" w:rsidR="00250012" w:rsidRDefault="001237D9" w:rsidP="00250012">
      <w:pPr>
        <w:jc w:val="center"/>
      </w:pPr>
      <w:r>
        <w:rPr>
          <w:noProof/>
        </w:rPr>
        <w:drawing>
          <wp:inline distT="0" distB="0" distL="0" distR="0" wp14:anchorId="150E87EE" wp14:editId="1E545277">
            <wp:extent cx="4105469" cy="2165502"/>
            <wp:effectExtent l="0" t="0" r="0" b="6350"/>
            <wp:docPr id="11056676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667616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19166" cy="2172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9683E" w14:textId="11F12EF6" w:rsidR="00250012" w:rsidRDefault="00250012" w:rsidP="00250012">
      <w:pPr>
        <w:pStyle w:val="Caption"/>
      </w:pPr>
      <w:bookmarkStart w:id="2" w:name="_Ref1586371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</w:t>
      </w:r>
      <w:r w:rsidRPr="00181FB6">
        <w:rPr>
          <w:b w:val="0"/>
          <w:bCs w:val="0"/>
        </w:rPr>
        <w:t>CA_n</w:t>
      </w:r>
      <w:r>
        <w:rPr>
          <w:b w:val="0"/>
          <w:bCs w:val="0"/>
        </w:rPr>
        <w:t>3</w:t>
      </w:r>
      <w:r w:rsidRPr="00181FB6">
        <w:rPr>
          <w:b w:val="0"/>
          <w:bCs w:val="0"/>
        </w:rPr>
        <w:t>B BCS</w:t>
      </w:r>
      <w:r>
        <w:rPr>
          <w:b w:val="0"/>
          <w:bCs w:val="0"/>
        </w:rPr>
        <w:t>4</w:t>
      </w:r>
      <w:r w:rsidRPr="00181FB6">
        <w:rPr>
          <w:b w:val="0"/>
          <w:bCs w:val="0"/>
        </w:rPr>
        <w:t xml:space="preserve"> MSD analysis</w:t>
      </w:r>
      <w:r w:rsidR="00540D6D">
        <w:rPr>
          <w:b w:val="0"/>
          <w:bCs w:val="0"/>
        </w:rPr>
        <w:t>.</w:t>
      </w:r>
    </w:p>
    <w:p w14:paraId="48DACE53" w14:textId="72BA4DEC" w:rsidR="00F2750F" w:rsidRPr="00343AA7" w:rsidRDefault="00343AA7" w:rsidP="00F2750F">
      <w:pPr>
        <w:rPr>
          <w:b/>
          <w:bCs/>
        </w:rPr>
      </w:pPr>
      <w:r w:rsidRPr="00343AA7">
        <w:rPr>
          <w:b/>
          <w:bCs/>
        </w:rPr>
        <w:t>Proposal:</w:t>
      </w:r>
      <w:r w:rsidR="00C84805">
        <w:rPr>
          <w:b/>
          <w:bCs/>
        </w:rPr>
        <w:t xml:space="preserve"> Adopt the</w:t>
      </w:r>
      <w:r w:rsidRPr="00343AA7">
        <w:rPr>
          <w:b/>
          <w:bCs/>
        </w:rPr>
        <w:t xml:space="preserve"> </w:t>
      </w:r>
      <w:r w:rsidR="006C0252">
        <w:rPr>
          <w:b/>
          <w:bCs/>
        </w:rPr>
        <w:t>CA_n</w:t>
      </w:r>
      <w:r w:rsidR="00634DBF">
        <w:rPr>
          <w:b/>
          <w:bCs/>
        </w:rPr>
        <w:t>3B</w:t>
      </w:r>
      <w:r w:rsidR="006C0252">
        <w:rPr>
          <w:b/>
          <w:bCs/>
        </w:rPr>
        <w:t xml:space="preserve"> </w:t>
      </w:r>
      <w:r w:rsidRPr="00343AA7">
        <w:rPr>
          <w:b/>
          <w:bCs/>
        </w:rPr>
        <w:t>BCS</w:t>
      </w:r>
      <w:r w:rsidR="00540D6D">
        <w:rPr>
          <w:b/>
          <w:bCs/>
        </w:rPr>
        <w:t>4/5</w:t>
      </w:r>
      <w:r w:rsidRPr="00343AA7">
        <w:rPr>
          <w:b/>
          <w:bCs/>
        </w:rPr>
        <w:t xml:space="preserve"> </w:t>
      </w:r>
      <w:r w:rsidR="00540D6D">
        <w:rPr>
          <w:b/>
          <w:bCs/>
        </w:rPr>
        <w:t>REFSENS</w:t>
      </w:r>
      <w:r w:rsidR="00C84805">
        <w:rPr>
          <w:b/>
          <w:bCs/>
        </w:rPr>
        <w:t xml:space="preserve"> test point </w:t>
      </w:r>
      <w:r w:rsidRPr="00343AA7">
        <w:rPr>
          <w:b/>
          <w:bCs/>
        </w:rPr>
        <w:t xml:space="preserve">highlighted </w:t>
      </w:r>
      <w:r w:rsidR="00C84805">
        <w:rPr>
          <w:b/>
          <w:bCs/>
        </w:rPr>
        <w:t>in green in</w:t>
      </w:r>
      <w:r w:rsidR="000349F5" w:rsidRPr="00343AA7">
        <w:rPr>
          <w:b/>
          <w:bCs/>
        </w:rPr>
        <w:t xml:space="preserve"> </w:t>
      </w:r>
      <w:r w:rsidR="000349F5" w:rsidRPr="00343AA7">
        <w:rPr>
          <w:b/>
          <w:bCs/>
        </w:rPr>
        <w:fldChar w:fldCharType="begin"/>
      </w:r>
      <w:r w:rsidR="000349F5"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="000349F5" w:rsidRPr="00343AA7">
        <w:rPr>
          <w:b/>
          <w:bCs/>
        </w:rPr>
      </w:r>
      <w:r w:rsidR="000349F5" w:rsidRPr="00343AA7">
        <w:rPr>
          <w:b/>
          <w:bCs/>
        </w:rPr>
        <w:fldChar w:fldCharType="separate"/>
      </w:r>
      <w:r w:rsidR="001237D9" w:rsidRPr="001237D9">
        <w:rPr>
          <w:b/>
          <w:bCs/>
        </w:rPr>
        <w:t xml:space="preserve">Table </w:t>
      </w:r>
      <w:r w:rsidR="001237D9" w:rsidRPr="001237D9">
        <w:rPr>
          <w:b/>
          <w:bCs/>
          <w:noProof/>
        </w:rPr>
        <w:t>2</w:t>
      </w:r>
      <w:r w:rsidR="000349F5" w:rsidRPr="00343AA7">
        <w:rPr>
          <w:b/>
          <w:bCs/>
        </w:rPr>
        <w:fldChar w:fldCharType="end"/>
      </w:r>
      <w:r w:rsidRPr="00343AA7">
        <w:rPr>
          <w:b/>
          <w:bCs/>
        </w:rPr>
        <w:t>.</w:t>
      </w:r>
      <w:r w:rsidR="000349F5" w:rsidRPr="00343AA7">
        <w:rPr>
          <w:b/>
          <w:bCs/>
        </w:rPr>
        <w:t xml:space="preserve"> </w:t>
      </w:r>
    </w:p>
    <w:p w14:paraId="2CC76042" w14:textId="4A477EA9" w:rsidR="00F2750F" w:rsidRPr="001237D9" w:rsidRDefault="000349F5" w:rsidP="000349F5">
      <w:pPr>
        <w:pStyle w:val="Caption"/>
        <w:rPr>
          <w:b w:val="0"/>
          <w:bCs w:val="0"/>
        </w:rPr>
      </w:pPr>
      <w:bookmarkStart w:id="3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4DBF">
        <w:rPr>
          <w:noProof/>
        </w:rPr>
        <w:t>2</w:t>
      </w:r>
      <w:r>
        <w:fldChar w:fldCharType="end"/>
      </w:r>
      <w:bookmarkEnd w:id="3"/>
      <w:r w:rsidR="001237D9">
        <w:t>:</w:t>
      </w:r>
      <w:r>
        <w:t xml:space="preserve"> </w:t>
      </w:r>
      <w:r w:rsidRPr="001237D9">
        <w:rPr>
          <w:b w:val="0"/>
          <w:bCs w:val="0"/>
        </w:rPr>
        <w:t>Intra-band contiguous</w:t>
      </w:r>
      <w:r w:rsidR="00540D6D">
        <w:rPr>
          <w:b w:val="0"/>
          <w:bCs w:val="0"/>
        </w:rPr>
        <w:t xml:space="preserve"> uplink</w:t>
      </w:r>
      <w:r w:rsidRPr="001237D9">
        <w:rPr>
          <w:b w:val="0"/>
          <w:bCs w:val="0"/>
        </w:rPr>
        <w:t xml:space="preserve"> CA</w:t>
      </w:r>
      <w:r w:rsidR="00540D6D">
        <w:rPr>
          <w:b w:val="0"/>
          <w:bCs w:val="0"/>
        </w:rPr>
        <w:t>_n3B BCS4/5</w:t>
      </w:r>
      <w:r w:rsidRPr="001237D9">
        <w:rPr>
          <w:b w:val="0"/>
          <w:bCs w:val="0"/>
        </w:rPr>
        <w:t xml:space="preserve"> uplink configuration for reference sensitivity</w:t>
      </w:r>
      <w:r w:rsidR="00540D6D">
        <w:rPr>
          <w:b w:val="0"/>
          <w:bCs w:val="0"/>
        </w:rPr>
        <w:t>.</w:t>
      </w:r>
    </w:p>
    <w:tbl>
      <w:tblPr>
        <w:tblW w:w="507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208"/>
        <w:gridCol w:w="1904"/>
        <w:gridCol w:w="1667"/>
        <w:gridCol w:w="1845"/>
        <w:gridCol w:w="808"/>
        <w:gridCol w:w="821"/>
        <w:gridCol w:w="825"/>
        <w:gridCol w:w="81"/>
      </w:tblGrid>
      <w:tr w:rsidR="001237D9" w:rsidRPr="00BA56F6" w14:paraId="5163D2FA" w14:textId="77777777" w:rsidTr="001237D9">
        <w:trPr>
          <w:gridAfter w:val="1"/>
          <w:wAfter w:w="37" w:type="pct"/>
          <w:trHeight w:val="690"/>
          <w:jc w:val="center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DC50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55A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7CBF367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4E998005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255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27F8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323340E0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C9B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5CEFCA11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7E56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97E06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8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9B14E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1237D9" w:rsidRPr="00BA56F6" w14:paraId="56AA8141" w14:textId="77777777" w:rsidTr="001237D9">
        <w:trPr>
          <w:gridAfter w:val="1"/>
          <w:wAfter w:w="37" w:type="pct"/>
          <w:trHeight w:val="20"/>
          <w:jc w:val="center"/>
        </w:trPr>
        <w:tc>
          <w:tcPr>
            <w:tcW w:w="6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0232D" w14:textId="3D152FE6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</w:t>
            </w:r>
            <w:r w:rsidR="001237D9">
              <w:rPr>
                <w:rFonts w:ascii="Arial" w:hAnsi="Arial"/>
                <w:sz w:val="18"/>
                <w:szCs w:val="18"/>
                <w:highlight w:val="green"/>
              </w:rPr>
              <w:t>3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B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2330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BE6BD" w14:textId="7CB0B13C" w:rsidR="00BA56F6" w:rsidRPr="00BA56F6" w:rsidRDefault="001237D9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2</w:t>
            </w:r>
            <w:r w:rsidR="00BA56F6"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="00BA56F6" w:rsidRPr="00904190">
              <w:rPr>
                <w:rFonts w:ascii="Arial" w:hAnsi="Arial"/>
                <w:sz w:val="18"/>
                <w:szCs w:val="18"/>
                <w:highlight w:val="green"/>
              </w:rPr>
              <w:t>0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FA2AC" w14:textId="5DE13EFA" w:rsidR="00BA56F6" w:rsidRPr="00BA56F6" w:rsidRDefault="001237D9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 xml:space="preserve">16 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>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07B4D" w14:textId="3FF17CAC" w:rsidR="00BA56F6" w:rsidRPr="00BA56F6" w:rsidRDefault="001237D9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32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="00904190"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="00BA56F6"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6F225" w14:textId="1895457B" w:rsidR="00BA56F6" w:rsidRPr="00BA56F6" w:rsidRDefault="001237D9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39.7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3F9F" w14:textId="2D4A664B" w:rsidR="00BA56F6" w:rsidRPr="00BA56F6" w:rsidRDefault="001237D9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14.2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989D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BA56F6" w:rsidRPr="00BA56F6" w14:paraId="30E89942" w14:textId="77777777" w:rsidTr="001237D9">
        <w:trPr>
          <w:trHeight w:val="35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2D8DA0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7C9F2C5B" w14:textId="2C352935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 xml:space="preserve">The carrier </w:t>
            </w:r>
            <w:r w:rsidR="007715BC">
              <w:rPr>
                <w:rFonts w:ascii="Arial" w:hAnsi="Arial"/>
                <w:sz w:val="18"/>
                <w:lang w:eastAsia="zh-CN"/>
              </w:rPr>
              <w:t>center</w:t>
            </w:r>
            <w:r w:rsidR="007715BC" w:rsidRPr="00BA56F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A56F6">
              <w:rPr>
                <w:rFonts w:ascii="Arial" w:hAnsi="Arial"/>
                <w:sz w:val="18"/>
                <w:lang w:eastAsia="zh-CN"/>
              </w:rPr>
              <w:t>frequency of SCC in the UL operating band is configured closer to the DL operating band.</w:t>
            </w:r>
          </w:p>
          <w:p w14:paraId="01759B38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17D06613" w14:textId="4B52A873" w:rsidR="00BA56F6" w:rsidRPr="001237D9" w:rsidRDefault="00BA56F6" w:rsidP="001237D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 xml:space="preserve">The PCC allocation is </w:t>
            </w:r>
            <w:r w:rsidR="007715BC">
              <w:rPr>
                <w:rFonts w:ascii="Arial" w:hAnsi="Arial"/>
                <w:sz w:val="18"/>
              </w:rPr>
              <w:t xml:space="preserve">the </w:t>
            </w:r>
            <w:r w:rsidRPr="00BA56F6">
              <w:rPr>
                <w:rFonts w:ascii="Arial" w:hAnsi="Arial"/>
                <w:sz w:val="18"/>
              </w:rPr>
              <w:t xml:space="preserve">same as </w:t>
            </w:r>
            <w:r w:rsidR="007715BC">
              <w:rPr>
                <w:rFonts w:ascii="Arial" w:hAnsi="Arial"/>
                <w:sz w:val="18"/>
              </w:rPr>
              <w:t>the t</w:t>
            </w:r>
            <w:r w:rsidR="007715BC" w:rsidRPr="00BA56F6">
              <w:rPr>
                <w:rFonts w:ascii="Arial" w:hAnsi="Arial"/>
                <w:sz w:val="18"/>
              </w:rPr>
              <w:t xml:space="preserve">ransmission </w:t>
            </w:r>
            <w:r w:rsidRPr="00BA56F6">
              <w:rPr>
                <w:rFonts w:ascii="Arial" w:hAnsi="Arial"/>
                <w:sz w:val="18"/>
              </w:rPr>
              <w:t>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</w:tc>
      </w:tr>
    </w:tbl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4322512F" w14:textId="1D9EC503" w:rsidR="006C0252" w:rsidRDefault="006C0252" w:rsidP="00540D6D">
      <w:r>
        <w:t xml:space="preserve">In this contribution, we </w:t>
      </w:r>
      <w:r w:rsidR="00540D6D">
        <w:t xml:space="preserve">propose the following </w:t>
      </w:r>
      <w:r>
        <w:t>CA_n</w:t>
      </w:r>
      <w:r w:rsidR="00DE0D48">
        <w:t>3</w:t>
      </w:r>
      <w:r>
        <w:t xml:space="preserve">B </w:t>
      </w:r>
      <w:r w:rsidR="00C84805">
        <w:t>BCS</w:t>
      </w:r>
      <w:r w:rsidR="00540D6D">
        <w:t>4/5</w:t>
      </w:r>
      <w:r w:rsidR="00C84805">
        <w:t xml:space="preserve"> </w:t>
      </w:r>
      <w:r w:rsidR="00540D6D">
        <w:t>REFSENS test point based on our measurement results.</w:t>
      </w:r>
    </w:p>
    <w:p w14:paraId="3241BAAB" w14:textId="77777777" w:rsidR="00540D6D" w:rsidRPr="00343AA7" w:rsidRDefault="00540D6D" w:rsidP="00540D6D">
      <w:pPr>
        <w:rPr>
          <w:b/>
          <w:bCs/>
        </w:rPr>
      </w:pPr>
      <w:r w:rsidRPr="00343AA7">
        <w:rPr>
          <w:b/>
          <w:bCs/>
        </w:rPr>
        <w:t>Proposal:</w:t>
      </w:r>
      <w:r>
        <w:rPr>
          <w:b/>
          <w:bCs/>
        </w:rPr>
        <w:t xml:space="preserve"> Adopt the</w:t>
      </w:r>
      <w:r w:rsidRPr="00343AA7">
        <w:rPr>
          <w:b/>
          <w:bCs/>
        </w:rPr>
        <w:t xml:space="preserve"> </w:t>
      </w:r>
      <w:r>
        <w:rPr>
          <w:b/>
          <w:bCs/>
        </w:rPr>
        <w:t xml:space="preserve">CA_n3B </w:t>
      </w:r>
      <w:r w:rsidRPr="00343AA7">
        <w:rPr>
          <w:b/>
          <w:bCs/>
        </w:rPr>
        <w:t>BCS</w:t>
      </w:r>
      <w:r>
        <w:rPr>
          <w:b/>
          <w:bCs/>
        </w:rPr>
        <w:t>4/5</w:t>
      </w:r>
      <w:r w:rsidRPr="00343AA7">
        <w:rPr>
          <w:b/>
          <w:bCs/>
        </w:rPr>
        <w:t xml:space="preserve"> </w:t>
      </w:r>
      <w:r>
        <w:rPr>
          <w:b/>
          <w:bCs/>
        </w:rPr>
        <w:t xml:space="preserve">REFSENS test point </w:t>
      </w:r>
      <w:r w:rsidRPr="00343AA7">
        <w:rPr>
          <w:b/>
          <w:bCs/>
        </w:rPr>
        <w:t xml:space="preserve">highlighted </w:t>
      </w:r>
      <w:r>
        <w:rPr>
          <w:b/>
          <w:bCs/>
        </w:rPr>
        <w:t>in green in</w:t>
      </w:r>
      <w:r w:rsidRPr="00343AA7">
        <w:rPr>
          <w:b/>
          <w:bCs/>
        </w:rPr>
        <w:t xml:space="preserve"> </w:t>
      </w:r>
      <w:r w:rsidRPr="00343AA7">
        <w:rPr>
          <w:b/>
          <w:bCs/>
        </w:rPr>
        <w:fldChar w:fldCharType="begin"/>
      </w:r>
      <w:r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Pr="00343AA7">
        <w:rPr>
          <w:b/>
          <w:bCs/>
        </w:rPr>
      </w:r>
      <w:r w:rsidRPr="00343AA7">
        <w:rPr>
          <w:b/>
          <w:bCs/>
        </w:rPr>
        <w:fldChar w:fldCharType="separate"/>
      </w:r>
      <w:r w:rsidRPr="001237D9">
        <w:rPr>
          <w:b/>
          <w:bCs/>
        </w:rPr>
        <w:t xml:space="preserve">Table </w:t>
      </w:r>
      <w:r w:rsidRPr="001237D9">
        <w:rPr>
          <w:b/>
          <w:bCs/>
          <w:noProof/>
        </w:rPr>
        <w:t>2</w:t>
      </w:r>
      <w:r w:rsidRPr="00343AA7">
        <w:rPr>
          <w:b/>
          <w:bCs/>
        </w:rPr>
        <w:fldChar w:fldCharType="end"/>
      </w:r>
      <w:r w:rsidRPr="00343AA7">
        <w:rPr>
          <w:b/>
          <w:bCs/>
        </w:rPr>
        <w:t xml:space="preserve">. </w:t>
      </w:r>
    </w:p>
    <w:p w14:paraId="1EA2FDCD" w14:textId="77777777" w:rsidR="00540D6D" w:rsidRPr="001237D9" w:rsidRDefault="00540D6D" w:rsidP="00540D6D">
      <w:pPr>
        <w:pStyle w:val="Caption"/>
        <w:rPr>
          <w:b w:val="0"/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1237D9">
        <w:rPr>
          <w:b w:val="0"/>
          <w:bCs w:val="0"/>
        </w:rPr>
        <w:t>Intra-band contiguous</w:t>
      </w:r>
      <w:r>
        <w:rPr>
          <w:b w:val="0"/>
          <w:bCs w:val="0"/>
        </w:rPr>
        <w:t xml:space="preserve"> uplink</w:t>
      </w:r>
      <w:r w:rsidRPr="001237D9">
        <w:rPr>
          <w:b w:val="0"/>
          <w:bCs w:val="0"/>
        </w:rPr>
        <w:t xml:space="preserve"> CA</w:t>
      </w:r>
      <w:r>
        <w:rPr>
          <w:b w:val="0"/>
          <w:bCs w:val="0"/>
        </w:rPr>
        <w:t>_n3B BCS4/5</w:t>
      </w:r>
      <w:r w:rsidRPr="001237D9">
        <w:rPr>
          <w:b w:val="0"/>
          <w:bCs w:val="0"/>
        </w:rPr>
        <w:t xml:space="preserve"> uplink configuration for reference sensitivity</w:t>
      </w:r>
      <w:r>
        <w:rPr>
          <w:b w:val="0"/>
          <w:bCs w:val="0"/>
        </w:rPr>
        <w:t>.</w:t>
      </w:r>
    </w:p>
    <w:tbl>
      <w:tblPr>
        <w:tblW w:w="507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208"/>
        <w:gridCol w:w="1904"/>
        <w:gridCol w:w="1667"/>
        <w:gridCol w:w="1845"/>
        <w:gridCol w:w="808"/>
        <w:gridCol w:w="821"/>
        <w:gridCol w:w="825"/>
        <w:gridCol w:w="81"/>
      </w:tblGrid>
      <w:tr w:rsidR="00540D6D" w:rsidRPr="00BA56F6" w14:paraId="38337AFE" w14:textId="77777777" w:rsidTr="00D5463A">
        <w:trPr>
          <w:gridAfter w:val="1"/>
          <w:wAfter w:w="37" w:type="pct"/>
          <w:trHeight w:val="690"/>
          <w:jc w:val="center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F667B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B61B1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451F7115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62420BCB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B4A6F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33615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246E681F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D3259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3BA145F1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4FE93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A726F2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8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DC7B6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540D6D" w:rsidRPr="00BA56F6" w14:paraId="235D8895" w14:textId="77777777" w:rsidTr="00D5463A">
        <w:trPr>
          <w:gridAfter w:val="1"/>
          <w:wAfter w:w="37" w:type="pct"/>
          <w:trHeight w:val="20"/>
          <w:jc w:val="center"/>
        </w:trPr>
        <w:tc>
          <w:tcPr>
            <w:tcW w:w="6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22F14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</w:t>
            </w:r>
            <w:r>
              <w:rPr>
                <w:rFonts w:ascii="Arial" w:hAnsi="Arial"/>
                <w:sz w:val="18"/>
                <w:szCs w:val="18"/>
                <w:highlight w:val="green"/>
              </w:rPr>
              <w:t>3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B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4CCB6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E2FAA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2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0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78CE3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 xml:space="preserve">16 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4AB52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32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2DDF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39.7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AFFC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>
              <w:rPr>
                <w:rFonts w:ascii="Arial" w:hAnsi="Arial"/>
                <w:sz w:val="18"/>
                <w:szCs w:val="18"/>
                <w:highlight w:val="green"/>
              </w:rPr>
              <w:t>14.2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D2692" w14:textId="77777777" w:rsidR="00540D6D" w:rsidRPr="00BA56F6" w:rsidRDefault="00540D6D" w:rsidP="00D54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540D6D" w:rsidRPr="00BA56F6" w14:paraId="53CDDDAE" w14:textId="77777777" w:rsidTr="00D5463A">
        <w:trPr>
          <w:trHeight w:val="35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4D71ED" w14:textId="77777777" w:rsidR="00540D6D" w:rsidRPr="00BA56F6" w:rsidRDefault="00540D6D" w:rsidP="00D5463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74187AF8" w14:textId="77777777" w:rsidR="00540D6D" w:rsidRPr="00BA56F6" w:rsidRDefault="00540D6D" w:rsidP="00D5463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 xml:space="preserve">The carrier </w:t>
            </w:r>
            <w:r>
              <w:rPr>
                <w:rFonts w:ascii="Arial" w:hAnsi="Arial"/>
                <w:sz w:val="18"/>
                <w:lang w:eastAsia="zh-CN"/>
              </w:rPr>
              <w:t>center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 frequency of SCC in the UL operating band is configured closer to the DL operating band.</w:t>
            </w:r>
          </w:p>
          <w:p w14:paraId="6A326F2E" w14:textId="77777777" w:rsidR="00540D6D" w:rsidRPr="00BA56F6" w:rsidRDefault="00540D6D" w:rsidP="00D5463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2BE037EA" w14:textId="77777777" w:rsidR="00540D6D" w:rsidRPr="001237D9" w:rsidRDefault="00540D6D" w:rsidP="00D5463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 xml:space="preserve">The PCC allocation is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BA56F6">
              <w:rPr>
                <w:rFonts w:ascii="Arial" w:hAnsi="Arial"/>
                <w:sz w:val="18"/>
              </w:rPr>
              <w:t xml:space="preserve">same as </w:t>
            </w:r>
            <w:r>
              <w:rPr>
                <w:rFonts w:ascii="Arial" w:hAnsi="Arial"/>
                <w:sz w:val="18"/>
              </w:rPr>
              <w:t>the t</w:t>
            </w:r>
            <w:r w:rsidRPr="00BA56F6">
              <w:rPr>
                <w:rFonts w:ascii="Arial" w:hAnsi="Arial"/>
                <w:sz w:val="18"/>
              </w:rPr>
              <w:t>ransmission 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</w:tc>
      </w:tr>
    </w:tbl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04C0B52" w14:textId="1F12101F" w:rsidR="00F2750F" w:rsidRDefault="00B97EAA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B97EAA">
        <w:rPr>
          <w:rFonts w:ascii="Arial" w:hAnsi="Arial" w:cs="Arial"/>
          <w:lang w:val="en-CA"/>
        </w:rPr>
        <w:t>RP-233953 Revised WID Basket Rel-18 WID NR_CA_R17_Intra</w:t>
      </w:r>
      <w:r w:rsidR="00834FB2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>3GPP TSG-RAN Meeting # 10</w:t>
      </w:r>
      <w:r>
        <w:rPr>
          <w:rFonts w:ascii="Arial" w:hAnsi="Arial" w:cs="Arial"/>
          <w:lang w:val="en-CA"/>
        </w:rPr>
        <w:t>2</w:t>
      </w:r>
      <w:r w:rsidR="00181FB6">
        <w:rPr>
          <w:rFonts w:ascii="Arial" w:hAnsi="Arial" w:cs="Arial"/>
          <w:lang w:val="en-CA"/>
        </w:rPr>
        <w:t xml:space="preserve">, </w:t>
      </w:r>
      <w:r w:rsidRPr="00B97EAA">
        <w:rPr>
          <w:rFonts w:ascii="Arial" w:hAnsi="Arial" w:cs="Arial"/>
          <w:lang w:val="en-CA"/>
        </w:rPr>
        <w:t>Edinburgh</w:t>
      </w:r>
      <w:r w:rsidR="00181FB6">
        <w:rPr>
          <w:rFonts w:ascii="Arial" w:hAnsi="Arial" w:cs="Arial"/>
          <w:lang w:val="en-CA"/>
        </w:rPr>
        <w:t xml:space="preserve">, </w:t>
      </w:r>
      <w:r>
        <w:rPr>
          <w:rFonts w:ascii="Arial" w:hAnsi="Arial" w:cs="Arial"/>
          <w:lang w:val="en-CA"/>
        </w:rPr>
        <w:t>Great Britain</w:t>
      </w:r>
      <w:r w:rsidR="00181FB6">
        <w:rPr>
          <w:rFonts w:ascii="Arial" w:hAnsi="Arial" w:cs="Arial"/>
          <w:lang w:val="en-CA"/>
        </w:rPr>
        <w:t>,</w:t>
      </w:r>
      <w:r>
        <w:rPr>
          <w:rFonts w:ascii="Arial" w:hAnsi="Arial" w:cs="Arial"/>
          <w:lang w:val="en-CA"/>
        </w:rPr>
        <w:t xml:space="preserve"> Ericsson.</w:t>
      </w:r>
    </w:p>
    <w:sectPr w:rsidR="00F2750F" w:rsidSect="009D470D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76079" w14:textId="77777777" w:rsidR="009D470D" w:rsidRPr="00A10429" w:rsidRDefault="009D470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84AD3BE" w14:textId="77777777" w:rsidR="009D470D" w:rsidRPr="00A10429" w:rsidRDefault="009D470D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A141741" w14:textId="77777777" w:rsidR="009D470D" w:rsidRDefault="009D47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575D3" w14:textId="77777777" w:rsidR="009D470D" w:rsidRPr="00A10429" w:rsidRDefault="009D470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CE4A7A" w14:textId="77777777" w:rsidR="009D470D" w:rsidRPr="00A10429" w:rsidRDefault="009D470D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5B539D3" w14:textId="77777777" w:rsidR="009D470D" w:rsidRDefault="009D47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085E1A"/>
    <w:multiLevelType w:val="hybridMultilevel"/>
    <w:tmpl w:val="88687AD2"/>
    <w:lvl w:ilvl="0" w:tplc="780A8E3C">
      <w:start w:val="1"/>
      <w:numFmt w:val="bullet"/>
      <w:lvlText w:val="-"/>
      <w:lvlJc w:val="left"/>
      <w:pPr>
        <w:ind w:left="113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 w16cid:durableId="169567831">
    <w:abstractNumId w:val="28"/>
  </w:num>
  <w:num w:numId="2" w16cid:durableId="1300187600">
    <w:abstractNumId w:val="15"/>
  </w:num>
  <w:num w:numId="3" w16cid:durableId="1758818660">
    <w:abstractNumId w:val="26"/>
  </w:num>
  <w:num w:numId="4" w16cid:durableId="713505000">
    <w:abstractNumId w:val="13"/>
  </w:num>
  <w:num w:numId="5" w16cid:durableId="115829471">
    <w:abstractNumId w:val="6"/>
  </w:num>
  <w:num w:numId="6" w16cid:durableId="1530870676">
    <w:abstractNumId w:val="20"/>
  </w:num>
  <w:num w:numId="7" w16cid:durableId="1299266557">
    <w:abstractNumId w:val="5"/>
  </w:num>
  <w:num w:numId="8" w16cid:durableId="505173749">
    <w:abstractNumId w:val="19"/>
  </w:num>
  <w:num w:numId="9" w16cid:durableId="714624915">
    <w:abstractNumId w:val="28"/>
  </w:num>
  <w:num w:numId="10" w16cid:durableId="875462326">
    <w:abstractNumId w:val="28"/>
  </w:num>
  <w:num w:numId="11" w16cid:durableId="1752240372">
    <w:abstractNumId w:val="2"/>
  </w:num>
  <w:num w:numId="12" w16cid:durableId="253786834">
    <w:abstractNumId w:val="9"/>
  </w:num>
  <w:num w:numId="13" w16cid:durableId="1613704937">
    <w:abstractNumId w:val="8"/>
  </w:num>
  <w:num w:numId="14" w16cid:durableId="1536575197">
    <w:abstractNumId w:val="24"/>
  </w:num>
  <w:num w:numId="15" w16cid:durableId="325137448">
    <w:abstractNumId w:val="28"/>
  </w:num>
  <w:num w:numId="16" w16cid:durableId="1086919383">
    <w:abstractNumId w:val="28"/>
  </w:num>
  <w:num w:numId="17" w16cid:durableId="622420821">
    <w:abstractNumId w:val="18"/>
  </w:num>
  <w:num w:numId="18" w16cid:durableId="146243428">
    <w:abstractNumId w:val="29"/>
  </w:num>
  <w:num w:numId="19" w16cid:durableId="968047221">
    <w:abstractNumId w:val="28"/>
  </w:num>
  <w:num w:numId="20" w16cid:durableId="782456130">
    <w:abstractNumId w:val="7"/>
  </w:num>
  <w:num w:numId="21" w16cid:durableId="460806518">
    <w:abstractNumId w:val="28"/>
  </w:num>
  <w:num w:numId="22" w16cid:durableId="1144926167">
    <w:abstractNumId w:val="28"/>
  </w:num>
  <w:num w:numId="23" w16cid:durableId="1318223761">
    <w:abstractNumId w:val="10"/>
  </w:num>
  <w:num w:numId="24" w16cid:durableId="922689772">
    <w:abstractNumId w:val="3"/>
  </w:num>
  <w:num w:numId="25" w16cid:durableId="1863517063">
    <w:abstractNumId w:val="1"/>
  </w:num>
  <w:num w:numId="26" w16cid:durableId="1943031963">
    <w:abstractNumId w:val="11"/>
  </w:num>
  <w:num w:numId="27" w16cid:durableId="1268342788">
    <w:abstractNumId w:val="12"/>
  </w:num>
  <w:num w:numId="28" w16cid:durableId="1078020691">
    <w:abstractNumId w:val="21"/>
  </w:num>
  <w:num w:numId="29" w16cid:durableId="18819939">
    <w:abstractNumId w:val="23"/>
  </w:num>
  <w:num w:numId="30" w16cid:durableId="2087266895">
    <w:abstractNumId w:val="17"/>
  </w:num>
  <w:num w:numId="31" w16cid:durableId="415442733">
    <w:abstractNumId w:val="16"/>
  </w:num>
  <w:num w:numId="32" w16cid:durableId="373315740">
    <w:abstractNumId w:val="0"/>
  </w:num>
  <w:num w:numId="33" w16cid:durableId="1436172970">
    <w:abstractNumId w:val="4"/>
  </w:num>
  <w:num w:numId="34" w16cid:durableId="1702900438">
    <w:abstractNumId w:val="22"/>
  </w:num>
  <w:num w:numId="35" w16cid:durableId="1718510225">
    <w:abstractNumId w:val="27"/>
  </w:num>
  <w:num w:numId="36" w16cid:durableId="251474530">
    <w:abstractNumId w:val="25"/>
  </w:num>
  <w:num w:numId="37" w16cid:durableId="1095590717">
    <w:abstractNumId w:val="14"/>
  </w:num>
  <w:num w:numId="38" w16cid:durableId="1216697522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6A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B5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945"/>
    <w:rsid w:val="001208B7"/>
    <w:rsid w:val="0012169C"/>
    <w:rsid w:val="00121FF5"/>
    <w:rsid w:val="001237D9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0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0C8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B31"/>
    <w:rsid w:val="00244F13"/>
    <w:rsid w:val="0024548A"/>
    <w:rsid w:val="00245B88"/>
    <w:rsid w:val="00245C71"/>
    <w:rsid w:val="0024633C"/>
    <w:rsid w:val="002466A6"/>
    <w:rsid w:val="00246F22"/>
    <w:rsid w:val="00247BBE"/>
    <w:rsid w:val="00250012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FE5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03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3F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126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DC5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6D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2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DB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C1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7AC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66F0C"/>
    <w:rsid w:val="00770F70"/>
    <w:rsid w:val="00771039"/>
    <w:rsid w:val="007710FF"/>
    <w:rsid w:val="007711BE"/>
    <w:rsid w:val="007715BC"/>
    <w:rsid w:val="0077224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FCD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5FF5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4F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3B0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278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DF8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2AD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369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70D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EAA"/>
    <w:rsid w:val="00BA0380"/>
    <w:rsid w:val="00BA03EF"/>
    <w:rsid w:val="00BA0644"/>
    <w:rsid w:val="00BA116F"/>
    <w:rsid w:val="00BA2B22"/>
    <w:rsid w:val="00BA3787"/>
    <w:rsid w:val="00BA3990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81D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289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D48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A1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86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95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1BF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49D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2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D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4</cp:revision>
  <dcterms:created xsi:type="dcterms:W3CDTF">2024-02-16T20:20:00Z</dcterms:created>
  <dcterms:modified xsi:type="dcterms:W3CDTF">2024-02-19T18:24:00Z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